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92" w:rsidRDefault="003D6E20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Premiere im </w:t>
      </w:r>
    </w:p>
    <w:p w:rsidR="003D6E20" w:rsidRDefault="003D6E20" w:rsidP="00E13D75">
      <w:pPr>
        <w:ind w:right="510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Freilichttheater</w:t>
      </w:r>
    </w:p>
    <w:p w:rsidR="003D6E20" w:rsidRDefault="003D6E20" w:rsidP="00BA2E8D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Stillen Winkel in Eglofs feiert am Samstag, 29. Juni, um 20.30 Uhr </w:t>
      </w:r>
      <w:r w:rsidR="00057D92">
        <w:rPr>
          <w:rFonts w:ascii="Arial" w:hAnsi="Arial" w:cs="Arial"/>
          <w:sz w:val="20"/>
          <w:szCs w:val="20"/>
        </w:rPr>
        <w:t xml:space="preserve">„Das Recht der ersten Nacht“ </w:t>
      </w:r>
      <w:r>
        <w:rPr>
          <w:rFonts w:ascii="Arial" w:hAnsi="Arial" w:cs="Arial"/>
          <w:sz w:val="20"/>
          <w:szCs w:val="20"/>
        </w:rPr>
        <w:t>Premiere.</w:t>
      </w:r>
      <w:r w:rsidR="00692B1D">
        <w:rPr>
          <w:rFonts w:ascii="Arial" w:hAnsi="Arial" w:cs="Arial"/>
          <w:sz w:val="20"/>
          <w:szCs w:val="20"/>
        </w:rPr>
        <w:t xml:space="preserve"> Das Stück </w:t>
      </w:r>
      <w:r>
        <w:rPr>
          <w:rFonts w:ascii="Arial" w:hAnsi="Arial" w:cs="Arial"/>
          <w:sz w:val="20"/>
          <w:szCs w:val="20"/>
        </w:rPr>
        <w:t xml:space="preserve">spielt </w:t>
      </w:r>
      <w:r w:rsidR="00692B1D">
        <w:rPr>
          <w:rFonts w:ascii="Arial" w:hAnsi="Arial" w:cs="Arial"/>
          <w:sz w:val="20"/>
          <w:szCs w:val="20"/>
        </w:rPr>
        <w:t xml:space="preserve">im Mittelalter, </w:t>
      </w:r>
      <w:r>
        <w:rPr>
          <w:rFonts w:ascii="Arial" w:hAnsi="Arial" w:cs="Arial"/>
          <w:sz w:val="20"/>
          <w:szCs w:val="20"/>
        </w:rPr>
        <w:t xml:space="preserve">zur </w:t>
      </w:r>
      <w:r w:rsidR="00057D92">
        <w:rPr>
          <w:rFonts w:ascii="Arial" w:hAnsi="Arial" w:cs="Arial"/>
          <w:sz w:val="20"/>
          <w:szCs w:val="20"/>
        </w:rPr>
        <w:t>Zeit des Stauferkaisers Friedrich II</w:t>
      </w:r>
      <w:r w:rsidR="00F3442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A1436" w:rsidRPr="00D00CAB">
        <w:rPr>
          <w:rFonts w:ascii="Arial" w:hAnsi="Arial" w:cs="Arial"/>
          <w:sz w:val="20"/>
          <w:szCs w:val="20"/>
        </w:rPr>
        <w:t xml:space="preserve">Leibeigene </w:t>
      </w:r>
      <w:r w:rsidR="004A1436">
        <w:rPr>
          <w:rFonts w:ascii="Arial" w:hAnsi="Arial" w:cs="Arial"/>
          <w:sz w:val="20"/>
          <w:szCs w:val="20"/>
        </w:rPr>
        <w:t>waren</w:t>
      </w:r>
      <w:r w:rsidR="004A1436" w:rsidRPr="00D00CAB">
        <w:rPr>
          <w:rFonts w:ascii="Arial" w:hAnsi="Arial" w:cs="Arial"/>
          <w:sz w:val="20"/>
          <w:szCs w:val="20"/>
        </w:rPr>
        <w:t xml:space="preserve"> die Bauern </w:t>
      </w:r>
      <w:r w:rsidR="004A1436">
        <w:rPr>
          <w:rFonts w:ascii="Arial" w:hAnsi="Arial" w:cs="Arial"/>
          <w:sz w:val="20"/>
          <w:szCs w:val="20"/>
        </w:rPr>
        <w:t xml:space="preserve">damals </w:t>
      </w:r>
      <w:r w:rsidR="004A1436" w:rsidRPr="00D00CAB">
        <w:rPr>
          <w:rFonts w:ascii="Arial" w:hAnsi="Arial" w:cs="Arial"/>
          <w:sz w:val="20"/>
          <w:szCs w:val="20"/>
        </w:rPr>
        <w:t xml:space="preserve">zwar nicht. Trotzdem </w:t>
      </w:r>
      <w:r w:rsidR="004A1436">
        <w:rPr>
          <w:rFonts w:ascii="Arial" w:hAnsi="Arial" w:cs="Arial"/>
          <w:sz w:val="20"/>
          <w:szCs w:val="20"/>
        </w:rPr>
        <w:t xml:space="preserve">standen </w:t>
      </w:r>
      <w:r w:rsidR="004A1436" w:rsidRPr="00D00CAB">
        <w:rPr>
          <w:rFonts w:ascii="Arial" w:hAnsi="Arial" w:cs="Arial"/>
          <w:sz w:val="20"/>
          <w:szCs w:val="20"/>
        </w:rPr>
        <w:t xml:space="preserve">sie unter der Fuchtel ihres </w:t>
      </w:r>
      <w:r w:rsidR="004A1436" w:rsidRPr="00D00CAB">
        <w:rPr>
          <w:rFonts w:ascii="Arial" w:hAnsi="Arial" w:cs="Arial"/>
          <w:color w:val="000000" w:themeColor="text1"/>
          <w:sz w:val="20"/>
          <w:szCs w:val="20"/>
        </w:rPr>
        <w:t>Lehensherrn</w:t>
      </w:r>
      <w:r w:rsidR="004A1436" w:rsidRPr="00D00CAB">
        <w:rPr>
          <w:rFonts w:ascii="Arial" w:hAnsi="Arial" w:cs="Arial"/>
          <w:sz w:val="20"/>
          <w:szCs w:val="20"/>
        </w:rPr>
        <w:t xml:space="preserve"> Graf Hartmann von </w:t>
      </w:r>
      <w:proofErr w:type="spellStart"/>
      <w:r w:rsidR="004A1436" w:rsidRPr="00D00CAB">
        <w:rPr>
          <w:rFonts w:ascii="Arial" w:hAnsi="Arial" w:cs="Arial"/>
          <w:sz w:val="20"/>
          <w:szCs w:val="20"/>
        </w:rPr>
        <w:t>Grüningen</w:t>
      </w:r>
      <w:proofErr w:type="spellEnd"/>
      <w:r w:rsidR="004A1436" w:rsidRPr="00D00CAB">
        <w:rPr>
          <w:rFonts w:ascii="Arial" w:hAnsi="Arial" w:cs="Arial"/>
          <w:sz w:val="20"/>
          <w:szCs w:val="20"/>
        </w:rPr>
        <w:t>, der sie mit Abgaben und Pflicht zum Kriegsdienst drangsaliert</w:t>
      </w:r>
      <w:r w:rsidR="004A1436">
        <w:rPr>
          <w:rFonts w:ascii="Arial" w:hAnsi="Arial" w:cs="Arial"/>
          <w:sz w:val="20"/>
          <w:szCs w:val="20"/>
        </w:rPr>
        <w:t>e</w:t>
      </w:r>
      <w:r w:rsidR="004A1436" w:rsidRPr="00D00CAB">
        <w:rPr>
          <w:rFonts w:ascii="Arial" w:hAnsi="Arial" w:cs="Arial"/>
          <w:sz w:val="20"/>
          <w:szCs w:val="20"/>
        </w:rPr>
        <w:t>. Heiratswillige fürchte</w:t>
      </w:r>
      <w:r w:rsidR="004A1436">
        <w:rPr>
          <w:rFonts w:ascii="Arial" w:hAnsi="Arial" w:cs="Arial"/>
          <w:sz w:val="20"/>
          <w:szCs w:val="20"/>
        </w:rPr>
        <w:t>te</w:t>
      </w:r>
      <w:r w:rsidR="004A1436" w:rsidRPr="00D00CAB">
        <w:rPr>
          <w:rFonts w:ascii="Arial" w:hAnsi="Arial" w:cs="Arial"/>
          <w:sz w:val="20"/>
          <w:szCs w:val="20"/>
        </w:rPr>
        <w:t xml:space="preserve">n, dass der Graf bei jungen Bräuten vor der Hochzeit vom berüchtigten „Recht der ersten Nacht“ Gebrauch machen könnte. In dieser Zeit </w:t>
      </w:r>
      <w:r w:rsidR="00C5573F">
        <w:rPr>
          <w:rFonts w:ascii="Arial" w:hAnsi="Arial" w:cs="Arial"/>
          <w:sz w:val="20"/>
          <w:szCs w:val="20"/>
        </w:rPr>
        <w:t>wuchs</w:t>
      </w:r>
      <w:r w:rsidR="004A1436" w:rsidRPr="00D00CAB">
        <w:rPr>
          <w:rFonts w:ascii="Arial" w:hAnsi="Arial" w:cs="Arial"/>
          <w:sz w:val="20"/>
          <w:szCs w:val="20"/>
        </w:rPr>
        <w:t xml:space="preserve"> in Sizilien ein Kind heran, das den </w:t>
      </w:r>
      <w:proofErr w:type="spellStart"/>
      <w:r w:rsidR="004A1436" w:rsidRPr="00D00CAB">
        <w:rPr>
          <w:rFonts w:ascii="Arial" w:hAnsi="Arial" w:cs="Arial"/>
          <w:sz w:val="20"/>
          <w:szCs w:val="20"/>
        </w:rPr>
        <w:t>Eglofsern</w:t>
      </w:r>
      <w:proofErr w:type="spellEnd"/>
      <w:r w:rsidR="004A1436" w:rsidRPr="00D00CAB">
        <w:rPr>
          <w:rFonts w:ascii="Arial" w:hAnsi="Arial" w:cs="Arial"/>
          <w:sz w:val="20"/>
          <w:szCs w:val="20"/>
        </w:rPr>
        <w:t xml:space="preserve"> Jahre später als Kaiser Friedrich II zur Freiheit verhelfen </w:t>
      </w:r>
      <w:r w:rsidR="00C5573F">
        <w:rPr>
          <w:rFonts w:ascii="Arial" w:hAnsi="Arial" w:cs="Arial"/>
          <w:sz w:val="20"/>
          <w:szCs w:val="20"/>
        </w:rPr>
        <w:t>sollte</w:t>
      </w:r>
      <w:r w:rsidR="004A1436" w:rsidRPr="00D00CAB">
        <w:rPr>
          <w:rFonts w:ascii="Arial" w:hAnsi="Arial" w:cs="Arial"/>
          <w:sz w:val="20"/>
          <w:szCs w:val="20"/>
        </w:rPr>
        <w:t xml:space="preserve">. Er </w:t>
      </w:r>
      <w:r w:rsidR="00C5573F">
        <w:rPr>
          <w:rFonts w:ascii="Arial" w:hAnsi="Arial" w:cs="Arial"/>
          <w:sz w:val="20"/>
          <w:szCs w:val="20"/>
        </w:rPr>
        <w:t xml:space="preserve">wollte </w:t>
      </w:r>
      <w:r w:rsidR="004A1436" w:rsidRPr="00D00CAB">
        <w:rPr>
          <w:rFonts w:ascii="Arial" w:hAnsi="Arial" w:cs="Arial"/>
          <w:sz w:val="20"/>
          <w:szCs w:val="20"/>
        </w:rPr>
        <w:t xml:space="preserve">die Grafschaft erwerben – allerdings nur, wenn die Bauern 1000 Mark Silber zum Kaufpreis beisteuern. </w:t>
      </w:r>
      <w:r w:rsidR="00C5573F" w:rsidRPr="004A1436">
        <w:rPr>
          <w:rFonts w:ascii="Arial" w:hAnsi="Arial" w:cs="Arial"/>
          <w:sz w:val="20"/>
          <w:szCs w:val="20"/>
        </w:rPr>
        <w:t>In farbigen, lebendigen Bildern zieht</w:t>
      </w:r>
      <w:r w:rsidR="00C557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Stück</w:t>
      </w:r>
      <w:r w:rsidR="00C5573F" w:rsidRPr="004A1436">
        <w:rPr>
          <w:rFonts w:ascii="Arial" w:hAnsi="Arial" w:cs="Arial"/>
          <w:sz w:val="20"/>
          <w:szCs w:val="20"/>
        </w:rPr>
        <w:t xml:space="preserve"> die Zuschauer in spannende Ereignisse hinein, beleuchtet Hintergründe, Historisches und humorvoll Erfundenes</w:t>
      </w:r>
      <w:bookmarkStart w:id="0" w:name="_GoBack"/>
      <w:bookmarkEnd w:id="0"/>
      <w:r w:rsidR="00C5573F" w:rsidRPr="004A1436">
        <w:rPr>
          <w:rFonts w:ascii="Arial" w:hAnsi="Arial" w:cs="Arial"/>
          <w:sz w:val="20"/>
          <w:szCs w:val="20"/>
        </w:rPr>
        <w:t xml:space="preserve">. Pralles Leben im Dorf, voll Liebe, Lust und Leid, Verstrickungen in die große Politik – bis hin zu unerwartet hohem  Besuch in der </w:t>
      </w:r>
      <w:r w:rsidR="00AD415B">
        <w:rPr>
          <w:rFonts w:ascii="Arial" w:hAnsi="Arial" w:cs="Arial"/>
          <w:sz w:val="20"/>
          <w:szCs w:val="20"/>
        </w:rPr>
        <w:t>Talschmiede</w:t>
      </w:r>
      <w:r w:rsidR="00C5573F">
        <w:rPr>
          <w:rFonts w:ascii="Arial" w:hAnsi="Arial" w:cs="Arial"/>
          <w:sz w:val="20"/>
          <w:szCs w:val="20"/>
        </w:rPr>
        <w:t xml:space="preserve">. </w:t>
      </w:r>
    </w:p>
    <w:p w:rsidR="00563A2B" w:rsidRDefault="00C5573F" w:rsidP="003D6E20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692B1D">
        <w:rPr>
          <w:rFonts w:ascii="Arial" w:hAnsi="Arial" w:cs="Arial"/>
          <w:sz w:val="20"/>
          <w:szCs w:val="20"/>
        </w:rPr>
        <w:t>„Recht der ersten Nacht“</w:t>
      </w:r>
      <w:r w:rsidR="00D00CAB">
        <w:rPr>
          <w:rFonts w:ascii="Arial" w:hAnsi="Arial" w:cs="Arial"/>
          <w:sz w:val="20"/>
          <w:szCs w:val="20"/>
        </w:rPr>
        <w:t xml:space="preserve"> entstammt mehreren Federn. Im Rahmen einer Schreiberwerk</w:t>
      </w:r>
      <w:r w:rsidR="00FE78BA">
        <w:rPr>
          <w:rFonts w:ascii="Arial" w:hAnsi="Arial" w:cs="Arial"/>
          <w:sz w:val="20"/>
          <w:szCs w:val="20"/>
        </w:rPr>
        <w:t xml:space="preserve">statt ließen Karl Stiefenhofer, </w:t>
      </w:r>
      <w:r w:rsidR="00D00CAB">
        <w:rPr>
          <w:rFonts w:ascii="Arial" w:hAnsi="Arial" w:cs="Arial"/>
          <w:sz w:val="20"/>
          <w:szCs w:val="20"/>
        </w:rPr>
        <w:t>Charly Rauch und German Bader Szenen aus einer rund 50-jährigen Periode der Geschichte entstehen. Historischer Berater war Karl Milz</w:t>
      </w:r>
      <w:r w:rsidR="00C26F56">
        <w:rPr>
          <w:rFonts w:ascii="Arial" w:hAnsi="Arial" w:cs="Arial"/>
          <w:sz w:val="20"/>
          <w:szCs w:val="20"/>
        </w:rPr>
        <w:t xml:space="preserve">. </w:t>
      </w:r>
      <w:r w:rsidR="00D00CAB">
        <w:rPr>
          <w:rFonts w:ascii="Arial" w:hAnsi="Arial" w:cs="Arial"/>
          <w:sz w:val="20"/>
          <w:szCs w:val="20"/>
        </w:rPr>
        <w:t xml:space="preserve">Regisseur </w:t>
      </w:r>
      <w:r w:rsidR="00C26F56">
        <w:rPr>
          <w:rFonts w:ascii="Arial" w:hAnsi="Arial" w:cs="Arial"/>
          <w:sz w:val="20"/>
          <w:szCs w:val="20"/>
        </w:rPr>
        <w:t xml:space="preserve">ist </w:t>
      </w:r>
      <w:r w:rsidR="00D00CAB">
        <w:rPr>
          <w:rFonts w:ascii="Arial" w:hAnsi="Arial" w:cs="Arial"/>
          <w:sz w:val="20"/>
          <w:szCs w:val="20"/>
        </w:rPr>
        <w:t xml:space="preserve">German Bader aus dem vorarlbergischen </w:t>
      </w:r>
      <w:proofErr w:type="spellStart"/>
      <w:r w:rsidR="00D00CAB">
        <w:rPr>
          <w:rFonts w:ascii="Arial" w:hAnsi="Arial" w:cs="Arial"/>
          <w:sz w:val="20"/>
          <w:szCs w:val="20"/>
        </w:rPr>
        <w:t>Hohenweiler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D6E20">
        <w:rPr>
          <w:rFonts w:ascii="Arial" w:hAnsi="Arial" w:cs="Arial"/>
          <w:sz w:val="20"/>
          <w:szCs w:val="20"/>
        </w:rPr>
        <w:t xml:space="preserve"> </w:t>
      </w:r>
    </w:p>
    <w:p w:rsidR="00692B1D" w:rsidRDefault="00692B1D" w:rsidP="00692B1D">
      <w:pPr>
        <w:pStyle w:val="Default"/>
        <w:ind w:right="4820"/>
        <w:rPr>
          <w:rFonts w:ascii="Arial" w:hAnsi="Arial" w:cs="Arial"/>
          <w:sz w:val="20"/>
          <w:szCs w:val="20"/>
        </w:rPr>
      </w:pPr>
      <w:bookmarkStart w:id="1" w:name="_Hlk4831631"/>
      <w:r>
        <w:rPr>
          <w:rFonts w:ascii="Arial" w:hAnsi="Arial" w:cs="Arial"/>
          <w:sz w:val="20"/>
          <w:szCs w:val="20"/>
        </w:rPr>
        <w:t xml:space="preserve">Info: </w:t>
      </w:r>
      <w:r w:rsidR="00AD415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eitere Aufführungen Mi. 03.07.2019, Fr. 05.07.2019, Mi. 10.07.2019, Fr. 12.07.2019, Sa. 13.07.2019, So. 14.07.2019, Spielbeginn </w:t>
      </w:r>
      <w:bookmarkEnd w:id="1"/>
      <w:r>
        <w:rPr>
          <w:rFonts w:ascii="Arial" w:hAnsi="Arial" w:cs="Arial"/>
          <w:sz w:val="20"/>
          <w:szCs w:val="20"/>
        </w:rPr>
        <w:t xml:space="preserve">20:30 Uhr im „Stillen Winkel“. Weitere Informationen sowie Onlinereservierung auf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www.theater-eglofs.de</w:t>
        </w:r>
      </w:hyperlink>
      <w:r>
        <w:rPr>
          <w:rFonts w:ascii="Arial" w:hAnsi="Arial" w:cs="Arial"/>
          <w:sz w:val="20"/>
          <w:szCs w:val="20"/>
        </w:rPr>
        <w:t xml:space="preserve"> oder per Email an: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karten@theater-eglofs.de</w:t>
        </w:r>
      </w:hyperlink>
      <w:r>
        <w:rPr>
          <w:rFonts w:ascii="Arial" w:hAnsi="Arial" w:cs="Arial"/>
          <w:sz w:val="20"/>
          <w:szCs w:val="20"/>
        </w:rPr>
        <w:t xml:space="preserve"> Das Kartenbüro nimmt telefonische Bestellungen entgegen: </w:t>
      </w:r>
      <w:r>
        <w:rPr>
          <w:rStyle w:val="A4"/>
          <w:rFonts w:cstheme="minorBidi"/>
          <w:color w:val="auto"/>
        </w:rPr>
        <w:t>Di. - Fr. 16 - 19 Uhr, Tel. 0 75 66 / 90 77 23</w:t>
      </w:r>
    </w:p>
    <w:p w:rsidR="00563A2B" w:rsidRDefault="00563A2B" w:rsidP="00692B1D">
      <w:pPr>
        <w:tabs>
          <w:tab w:val="left" w:pos="4111"/>
        </w:tabs>
        <w:ind w:right="5104"/>
        <w:rPr>
          <w:rFonts w:ascii="Arial" w:hAnsi="Arial" w:cs="Arial"/>
          <w:sz w:val="20"/>
          <w:szCs w:val="20"/>
        </w:rPr>
      </w:pPr>
    </w:p>
    <w:sectPr w:rsidR="00563A2B" w:rsidSect="00E13D7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B"/>
    <w:rsid w:val="00057D92"/>
    <w:rsid w:val="00094B45"/>
    <w:rsid w:val="001D7992"/>
    <w:rsid w:val="001F473A"/>
    <w:rsid w:val="002A1E4B"/>
    <w:rsid w:val="003927AB"/>
    <w:rsid w:val="003D6679"/>
    <w:rsid w:val="003D6E20"/>
    <w:rsid w:val="004A1436"/>
    <w:rsid w:val="00563A2B"/>
    <w:rsid w:val="005656C8"/>
    <w:rsid w:val="00692B1D"/>
    <w:rsid w:val="007A120B"/>
    <w:rsid w:val="007F2247"/>
    <w:rsid w:val="007F6345"/>
    <w:rsid w:val="009B41A9"/>
    <w:rsid w:val="00AD415B"/>
    <w:rsid w:val="00BA2E8D"/>
    <w:rsid w:val="00BB77A0"/>
    <w:rsid w:val="00C26F56"/>
    <w:rsid w:val="00C5573F"/>
    <w:rsid w:val="00D00CAB"/>
    <w:rsid w:val="00D91E63"/>
    <w:rsid w:val="00E04E1A"/>
    <w:rsid w:val="00E13D75"/>
    <w:rsid w:val="00F34427"/>
    <w:rsid w:val="00FE78BA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87FD-F600-4A28-84B8-DE6BB81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63A2B"/>
    <w:rPr>
      <w:color w:val="0563C1"/>
      <w:u w:val="single"/>
    </w:rPr>
  </w:style>
  <w:style w:type="paragraph" w:customStyle="1" w:styleId="Default">
    <w:name w:val="Default"/>
    <w:rsid w:val="00692B1D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</w:rPr>
  </w:style>
  <w:style w:type="character" w:customStyle="1" w:styleId="A4">
    <w:name w:val="A4"/>
    <w:uiPriority w:val="99"/>
    <w:rsid w:val="00692B1D"/>
    <w:rPr>
      <w:rFonts w:ascii="DIN Next LT Pro" w:hAnsi="DIN Next LT Pro" w:cs="DIN Next LT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en@theater-eglofs.de" TargetMode="External"/><Relationship Id="rId4" Type="http://schemas.openxmlformats.org/officeDocument/2006/relationships/hyperlink" Target="http://www.theater-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37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37 Anschlaege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6</cp:revision>
  <dcterms:created xsi:type="dcterms:W3CDTF">2019-06-23T07:17:00Z</dcterms:created>
  <dcterms:modified xsi:type="dcterms:W3CDTF">2019-06-24T13:58:00Z</dcterms:modified>
</cp:coreProperties>
</file>